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AAD">
        <w:rPr>
          <w:rFonts w:ascii="Times New Roman" w:hAnsi="Times New Roman" w:cs="Times New Roman"/>
          <w:b/>
          <w:bCs/>
          <w:sz w:val="28"/>
          <w:szCs w:val="28"/>
        </w:rPr>
        <w:t>Видеопроизводство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Районный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7-11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410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E410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«Видеопроизводство»,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«Видеопроизводство».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9D0E32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7E410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9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9D0E32" w:rsidRDefault="009D0E3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Командам до трёх человек необходимо </w:t>
      </w:r>
      <w:r w:rsidR="007E410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смонтировать «нарезку» видео произведения на свой выбор (фильм, мультфильм, сериал) на 2-5 минут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28625C">
        <w:rPr>
          <w:rFonts w:ascii="Times New Roman" w:hAnsi="Times New Roman" w:cs="Times New Roman"/>
          <w:bCs/>
          <w:sz w:val="28"/>
          <w:szCs w:val="28"/>
        </w:rPr>
        <w:t>2</w:t>
      </w:r>
      <w:r w:rsidR="007E410C">
        <w:rPr>
          <w:rFonts w:ascii="Times New Roman" w:hAnsi="Times New Roman" w:cs="Times New Roman"/>
          <w:bCs/>
          <w:sz w:val="28"/>
          <w:szCs w:val="28"/>
        </w:rPr>
        <w:t>2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E410C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F15492">
        <w:rPr>
          <w:rFonts w:ascii="Times New Roman" w:hAnsi="Times New Roman" w:cs="Times New Roman"/>
          <w:bCs/>
          <w:sz w:val="28"/>
          <w:szCs w:val="28"/>
        </w:rPr>
        <w:t>года в 15.00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стать любой обучающийся 7-11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7E410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7E410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ноября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7E410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4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Default="0028625C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Павлычеву Всеволоду Александровичу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e-</w:t>
      </w:r>
      <w:proofErr w:type="spellStart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410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участников районного этапа конкурса,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имеют возможность принять участие в городском этапе Фестиваля профессиональных проб.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</w:t>
      </w:r>
      <w:r w:rsidR="002862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E410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28625C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 Всеволод Александрович,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8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28625C">
        <w:rPr>
          <w:rFonts w:ascii="Times New Roman" w:hAnsi="Times New Roman" w:cs="Times New Roman"/>
          <w:sz w:val="28"/>
          <w:szCs w:val="28"/>
        </w:rPr>
        <w:t>отборочный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«Видеопроизводство»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sectPr w:rsidR="00066939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66939"/>
    <w:rsid w:val="00167609"/>
    <w:rsid w:val="0028625C"/>
    <w:rsid w:val="0076751D"/>
    <w:rsid w:val="007E410C"/>
    <w:rsid w:val="009D0E32"/>
    <w:rsid w:val="00AC6CF9"/>
    <w:rsid w:val="00AE5A94"/>
    <w:rsid w:val="00C53AAD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ramide1610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ramide1610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Pyramide</cp:lastModifiedBy>
  <cp:revision>2</cp:revision>
  <dcterms:created xsi:type="dcterms:W3CDTF">2024-10-23T04:23:00Z</dcterms:created>
  <dcterms:modified xsi:type="dcterms:W3CDTF">2024-10-23T04:23:00Z</dcterms:modified>
</cp:coreProperties>
</file>